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26FC" w14:textId="7D953D82" w:rsidR="00A30E28" w:rsidRDefault="00A30E28" w:rsidP="00E106F5">
      <w:pPr>
        <w:pStyle w:val="Base"/>
      </w:pPr>
      <w:r>
        <w:t xml:space="preserve">10A NCAC 15 .0209 is </w:t>
      </w:r>
      <w:r w:rsidR="00CC1505">
        <w:t>readopted</w:t>
      </w:r>
      <w:r w:rsidR="008B7EE9">
        <w:t xml:space="preserve"> </w:t>
      </w:r>
      <w:r w:rsidR="00CC1505">
        <w:t xml:space="preserve">as published in 39:10 NCR 629-642 </w:t>
      </w:r>
      <w:r>
        <w:t>as follows:</w:t>
      </w:r>
    </w:p>
    <w:p w14:paraId="174E683E" w14:textId="77777777" w:rsidR="00A30E28" w:rsidRPr="00F721C0" w:rsidRDefault="00A30E28" w:rsidP="00E106F5">
      <w:pPr>
        <w:pStyle w:val="Base"/>
      </w:pPr>
    </w:p>
    <w:p w14:paraId="3601CC12" w14:textId="77777777" w:rsidR="00A30E28" w:rsidRPr="003B4E5B" w:rsidRDefault="00A30E28" w:rsidP="00E106F5">
      <w:pPr>
        <w:pStyle w:val="Rule"/>
        <w:rPr>
          <w:u w:val="single"/>
        </w:rPr>
      </w:pPr>
      <w:r>
        <w:t>10A NCAC 15 .0209</w:t>
      </w:r>
      <w:r>
        <w:tab/>
      </w:r>
      <w:r w:rsidRPr="000C136D">
        <w:rPr>
          <w:strike/>
        </w:rPr>
        <w:t>REPORT OF CHANGES</w:t>
      </w:r>
      <w:r>
        <w:t xml:space="preserve"> </w:t>
      </w:r>
      <w:r w:rsidRPr="003B4E5B">
        <w:rPr>
          <w:u w:val="single"/>
        </w:rPr>
        <w:t>ISSUANCE OF NOTICE OF REGISTRATION</w:t>
      </w:r>
    </w:p>
    <w:p w14:paraId="7DFE9531" w14:textId="77777777" w:rsidR="00A30E28" w:rsidRPr="000E2826" w:rsidRDefault="00A30E28" w:rsidP="000E2826">
      <w:pPr>
        <w:pStyle w:val="Base"/>
      </w:pPr>
    </w:p>
    <w:p w14:paraId="2AAE8405" w14:textId="77777777" w:rsidR="00A30E28" w:rsidRDefault="00A30E28">
      <w:pPr>
        <w:pStyle w:val="Paragraph"/>
        <w:rPr>
          <w:strike/>
        </w:rPr>
      </w:pPr>
      <w:r w:rsidRPr="000C136D">
        <w:rPr>
          <w:strike/>
        </w:rPr>
        <w:t>Any registrant shall notify the agency in writing when any change will render the information contained in the application for registration or notice of registration no longer accurate.</w:t>
      </w:r>
    </w:p>
    <w:p w14:paraId="040B7A2E" w14:textId="77777777" w:rsidR="00A30E28" w:rsidRPr="000C136D" w:rsidRDefault="00A30E28" w:rsidP="00E106F5">
      <w:pPr>
        <w:pStyle w:val="Paragraph"/>
        <w:rPr>
          <w:u w:val="single"/>
        </w:rPr>
      </w:pPr>
      <w:r w:rsidRPr="000C136D">
        <w:rPr>
          <w:u w:val="single"/>
        </w:rPr>
        <w:t>(a</w:t>
      </w:r>
      <w:proofErr w:type="gramStart"/>
      <w:r w:rsidRPr="000C136D">
        <w:rPr>
          <w:u w:val="single"/>
        </w:rPr>
        <w:t>)  The</w:t>
      </w:r>
      <w:proofErr w:type="gramEnd"/>
      <w:r w:rsidRPr="000C136D">
        <w:rPr>
          <w:u w:val="single"/>
        </w:rPr>
        <w:t xml:space="preserve"> agency shall issue a notice of registration upon a determination that an applicant:</w:t>
      </w:r>
    </w:p>
    <w:p w14:paraId="475AD954" w14:textId="77777777" w:rsidR="00A30E28" w:rsidRPr="000C136D" w:rsidRDefault="00A30E28" w:rsidP="00E106F5">
      <w:pPr>
        <w:pStyle w:val="SubParagraph"/>
        <w:rPr>
          <w:u w:val="single"/>
        </w:rPr>
      </w:pPr>
      <w:r w:rsidRPr="000C136D">
        <w:rPr>
          <w:u w:val="single"/>
        </w:rPr>
        <w:t>(1)</w:t>
      </w:r>
      <w:r w:rsidRPr="000C136D">
        <w:rPr>
          <w:u w:val="single"/>
        </w:rPr>
        <w:tab/>
        <w:t>is qualified by reason of education, training</w:t>
      </w:r>
      <w:r>
        <w:rPr>
          <w:u w:val="single"/>
        </w:rPr>
        <w:t>,</w:t>
      </w:r>
      <w:r w:rsidRPr="000C136D">
        <w:rPr>
          <w:u w:val="single"/>
        </w:rPr>
        <w:t xml:space="preserve"> or experience in the use and hazards of radiation sources described in the application for </w:t>
      </w:r>
      <w:proofErr w:type="gramStart"/>
      <w:r w:rsidRPr="000C136D">
        <w:rPr>
          <w:u w:val="single"/>
        </w:rPr>
        <w:t>registration;</w:t>
      </w:r>
      <w:proofErr w:type="gramEnd"/>
    </w:p>
    <w:p w14:paraId="03504236" w14:textId="77777777" w:rsidR="00A30E28" w:rsidRPr="000C136D" w:rsidRDefault="00A30E28" w:rsidP="00E106F5">
      <w:pPr>
        <w:pStyle w:val="SubParagraph"/>
        <w:rPr>
          <w:u w:val="single"/>
        </w:rPr>
      </w:pPr>
      <w:r w:rsidRPr="000C136D">
        <w:rPr>
          <w:u w:val="single"/>
        </w:rPr>
        <w:t>(2)</w:t>
      </w:r>
      <w:r w:rsidRPr="000C136D">
        <w:rPr>
          <w:u w:val="single"/>
        </w:rPr>
        <w:tab/>
        <w:t xml:space="preserve">has facilities and equipment which meet the requirements </w:t>
      </w:r>
      <w:r>
        <w:rPr>
          <w:u w:val="single"/>
        </w:rPr>
        <w:t>in</w:t>
      </w:r>
      <w:r w:rsidRPr="000C136D">
        <w:rPr>
          <w:u w:val="single"/>
        </w:rPr>
        <w:t xml:space="preserve"> these </w:t>
      </w:r>
      <w:proofErr w:type="gramStart"/>
      <w:r w:rsidRPr="000C136D">
        <w:rPr>
          <w:u w:val="single"/>
        </w:rPr>
        <w:t>Rules;</w:t>
      </w:r>
      <w:proofErr w:type="gramEnd"/>
    </w:p>
    <w:p w14:paraId="3908CB2A" w14:textId="77777777" w:rsidR="00A30E28" w:rsidRPr="000C136D" w:rsidRDefault="00A30E28" w:rsidP="00E106F5">
      <w:pPr>
        <w:pStyle w:val="SubParagraph"/>
        <w:rPr>
          <w:u w:val="single"/>
        </w:rPr>
      </w:pPr>
      <w:r w:rsidRPr="000C136D">
        <w:rPr>
          <w:u w:val="single"/>
        </w:rPr>
        <w:t>(3)</w:t>
      </w:r>
      <w:r w:rsidRPr="000C136D">
        <w:rPr>
          <w:u w:val="single"/>
        </w:rPr>
        <w:tab/>
        <w:t>has established a radiation protection program, appropriate to the registered activities, which assures compliance with radiation protection requirements in these Rules; and</w:t>
      </w:r>
    </w:p>
    <w:p w14:paraId="2166D0EB" w14:textId="77777777" w:rsidR="00A30E28" w:rsidRPr="000C136D" w:rsidRDefault="00A30E28" w:rsidP="00E106F5">
      <w:pPr>
        <w:pStyle w:val="SubParagraph"/>
        <w:rPr>
          <w:u w:val="single"/>
        </w:rPr>
      </w:pPr>
      <w:r w:rsidRPr="000C136D">
        <w:rPr>
          <w:u w:val="single"/>
        </w:rPr>
        <w:t>(4)</w:t>
      </w:r>
      <w:r w:rsidRPr="000C136D">
        <w:rPr>
          <w:u w:val="single"/>
        </w:rPr>
        <w:tab/>
        <w:t>meets the applicable requirements in this Chapter.</w:t>
      </w:r>
    </w:p>
    <w:p w14:paraId="00699CDE" w14:textId="77777777" w:rsidR="00A30E28" w:rsidRPr="000C136D" w:rsidRDefault="00A30E28" w:rsidP="00E106F5">
      <w:pPr>
        <w:pStyle w:val="Paragraph"/>
        <w:rPr>
          <w:u w:val="single"/>
        </w:rPr>
      </w:pPr>
      <w:r w:rsidRPr="000C136D">
        <w:rPr>
          <w:u w:val="single"/>
        </w:rPr>
        <w:t>(b</w:t>
      </w:r>
      <w:proofErr w:type="gramStart"/>
      <w:r w:rsidRPr="000C136D">
        <w:rPr>
          <w:u w:val="single"/>
        </w:rPr>
        <w:t>)  The</w:t>
      </w:r>
      <w:proofErr w:type="gramEnd"/>
      <w:r w:rsidRPr="000C136D">
        <w:rPr>
          <w:u w:val="single"/>
        </w:rPr>
        <w:t xml:space="preserve"> agency may, by registration condition or order, when not in conflict with any law, waive any requirement in these Rules or impose requirements with respect to the registrant's receipt, possession, use</w:t>
      </w:r>
      <w:r>
        <w:rPr>
          <w:u w:val="single"/>
        </w:rPr>
        <w:t>,</w:t>
      </w:r>
      <w:r w:rsidRPr="000C136D">
        <w:rPr>
          <w:u w:val="single"/>
        </w:rPr>
        <w:t xml:space="preserve"> and transfer of radiation machines</w:t>
      </w:r>
      <w:r>
        <w:rPr>
          <w:u w:val="single"/>
        </w:rPr>
        <w:t xml:space="preserve"> or radiation generating devices</w:t>
      </w:r>
      <w:r w:rsidRPr="000C136D">
        <w:rPr>
          <w:u w:val="single"/>
        </w:rPr>
        <w:t xml:space="preserve"> as the agency deems appropriate or necessary for compliance with the rules in this Chapter.</w:t>
      </w:r>
    </w:p>
    <w:p w14:paraId="6EB3ADCA" w14:textId="77777777" w:rsidR="00A30E28" w:rsidRPr="000C136D" w:rsidRDefault="00A30E28" w:rsidP="00E106F5">
      <w:pPr>
        <w:pStyle w:val="Paragraph"/>
        <w:rPr>
          <w:u w:val="single"/>
        </w:rPr>
      </w:pPr>
      <w:r w:rsidRPr="000C136D">
        <w:rPr>
          <w:u w:val="single"/>
        </w:rPr>
        <w:t>(c)  The agency may refuse to grant a registration required in Rules .0203</w:t>
      </w:r>
      <w:r>
        <w:rPr>
          <w:u w:val="single"/>
        </w:rPr>
        <w:t>, .0204,</w:t>
      </w:r>
      <w:r w:rsidRPr="000C136D">
        <w:rPr>
          <w:u w:val="single"/>
        </w:rPr>
        <w:t xml:space="preserve"> and .0205 of this Section to any applicant who does not possess adequate qualifications or equipment or satisfy the applicable requirements in this Chapter; provided that, before any order is entered denying an application for registration, the agency shall give notice and grant a hearing as provided in G.S. 150B.</w:t>
      </w:r>
    </w:p>
    <w:p w14:paraId="7E1F009D" w14:textId="77777777" w:rsidR="00A30E28" w:rsidRDefault="00A30E28"/>
    <w:p w14:paraId="0667745C" w14:textId="77777777" w:rsidR="00A30E28" w:rsidRDefault="00A30E28">
      <w:pPr>
        <w:pStyle w:val="History"/>
      </w:pPr>
      <w:r>
        <w:t>History Note:</w:t>
      </w:r>
      <w:r>
        <w:tab/>
        <w:t>Authority G.S. 104E</w:t>
      </w:r>
      <w:r>
        <w:noBreakHyphen/>
        <w:t xml:space="preserve">7; </w:t>
      </w:r>
      <w:r w:rsidRPr="00DB7D7D">
        <w:rPr>
          <w:strike/>
        </w:rPr>
        <w:t>104E</w:t>
      </w:r>
      <w:r w:rsidRPr="00DB7D7D">
        <w:rPr>
          <w:strike/>
        </w:rPr>
        <w:noBreakHyphen/>
      </w:r>
      <w:proofErr w:type="gramStart"/>
      <w:r w:rsidRPr="00DB7D7D">
        <w:rPr>
          <w:strike/>
        </w:rPr>
        <w:t>12;</w:t>
      </w:r>
      <w:proofErr w:type="gramEnd"/>
    </w:p>
    <w:p w14:paraId="49E7A17F" w14:textId="77777777" w:rsidR="00A30E28" w:rsidRDefault="00A30E28">
      <w:pPr>
        <w:pStyle w:val="HistoryAfter"/>
      </w:pPr>
      <w:r>
        <w:t xml:space="preserve">Eff. February 1, </w:t>
      </w:r>
      <w:proofErr w:type="gramStart"/>
      <w:r>
        <w:t>1980;</w:t>
      </w:r>
      <w:proofErr w:type="gramEnd"/>
    </w:p>
    <w:p w14:paraId="562B6831" w14:textId="77777777" w:rsidR="00A30E28" w:rsidRDefault="00A30E28" w:rsidP="00E106F5">
      <w:pPr>
        <w:pStyle w:val="HistoryAfter"/>
        <w:rPr>
          <w:u w:val="single"/>
        </w:rPr>
      </w:pPr>
      <w:r>
        <w:t xml:space="preserve">Transferred and </w:t>
      </w:r>
      <w:proofErr w:type="gramStart"/>
      <w:r>
        <w:t>Recodified</w:t>
      </w:r>
      <w:proofErr w:type="gramEnd"/>
      <w:r>
        <w:t xml:space="preserve"> from 15A NCAC 11 .0209 Eff. February 1, </w:t>
      </w:r>
      <w:r w:rsidRPr="005B7F2B">
        <w:rPr>
          <w:strike/>
        </w:rPr>
        <w:t>2015.</w:t>
      </w:r>
      <w:r>
        <w:t xml:space="preserve"> </w:t>
      </w:r>
      <w:proofErr w:type="gramStart"/>
      <w:r w:rsidRPr="005B7F2B">
        <w:rPr>
          <w:u w:val="single"/>
        </w:rPr>
        <w:t>2015;</w:t>
      </w:r>
      <w:proofErr w:type="gramEnd"/>
    </w:p>
    <w:p w14:paraId="5A48FE95" w14:textId="0F29A287" w:rsidR="00A30E28" w:rsidRPr="004555B1" w:rsidRDefault="00A30E28" w:rsidP="004555B1">
      <w:pPr>
        <w:pStyle w:val="HistoryAfter"/>
        <w:rPr>
          <w:u w:val="single"/>
        </w:rPr>
      </w:pPr>
      <w:r w:rsidRPr="005B7F2B">
        <w:rPr>
          <w:u w:val="single"/>
        </w:rPr>
        <w:t xml:space="preserve">Readopted </w:t>
      </w:r>
      <w:r w:rsidR="00646A87">
        <w:rPr>
          <w:u w:val="single"/>
        </w:rPr>
        <w:t xml:space="preserve">Eff. </w:t>
      </w:r>
      <w:r w:rsidRPr="005B7F2B">
        <w:rPr>
          <w:u w:val="single"/>
        </w:rPr>
        <w:t>May 1, 2025.</w:t>
      </w:r>
    </w:p>
    <w:sectPr w:rsidR="00A30E28" w:rsidRPr="004555B1" w:rsidSect="00BD2800">
      <w:headerReference w:type="default" r:id="rId8"/>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CF74" w14:textId="77777777" w:rsidR="00A30E28" w:rsidRDefault="00A30E28" w:rsidP="00A60E47">
      <w:r>
        <w:separator/>
      </w:r>
    </w:p>
  </w:endnote>
  <w:endnote w:type="continuationSeparator" w:id="0">
    <w:p w14:paraId="18285B7F" w14:textId="77777777" w:rsidR="00A30E28" w:rsidRDefault="00A30E28"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7E9D"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B3B0" w14:textId="77777777" w:rsidR="007C6145" w:rsidRDefault="007C6145" w:rsidP="00A60E47">
    <w:r>
      <w:fldChar w:fldCharType="begin"/>
    </w:r>
    <w:r>
      <w:fldChar w:fldCharType="begin"/>
    </w:r>
    <w:r>
      <w:instrText>NUMPAGES</w:instrText>
    </w:r>
    <w:r>
      <w:fldChar w:fldCharType="separate"/>
    </w:r>
    <w:r w:rsidR="00A30E28">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F0443" w14:textId="77777777" w:rsidR="00A30E28" w:rsidRDefault="00A30E28" w:rsidP="00A60E47">
      <w:r>
        <w:separator/>
      </w:r>
    </w:p>
  </w:footnote>
  <w:footnote w:type="continuationSeparator" w:id="0">
    <w:p w14:paraId="7B799043" w14:textId="77777777" w:rsidR="00A30E28" w:rsidRDefault="00A30E28"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C2E5" w14:textId="7A4E4155" w:rsidR="00646A87" w:rsidRDefault="00646A87" w:rsidP="00646A87">
    <w:pPr>
      <w:pStyle w:val="Header"/>
      <w:jc w:val="right"/>
    </w:pPr>
    <w:r>
      <w:t>1/25/2025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28"/>
    <w:rsid w:val="00005A49"/>
    <w:rsid w:val="00037311"/>
    <w:rsid w:val="000461E1"/>
    <w:rsid w:val="0005731A"/>
    <w:rsid w:val="00081174"/>
    <w:rsid w:val="00093A22"/>
    <w:rsid w:val="000A7F3D"/>
    <w:rsid w:val="000D00BA"/>
    <w:rsid w:val="000E2FEF"/>
    <w:rsid w:val="00102212"/>
    <w:rsid w:val="0011650F"/>
    <w:rsid w:val="00140463"/>
    <w:rsid w:val="00145BC8"/>
    <w:rsid w:val="00172523"/>
    <w:rsid w:val="001752AF"/>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1F29"/>
    <w:rsid w:val="002F4BB1"/>
    <w:rsid w:val="00307356"/>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08BA"/>
    <w:rsid w:val="00511FB7"/>
    <w:rsid w:val="005215BD"/>
    <w:rsid w:val="005238BB"/>
    <w:rsid w:val="00550846"/>
    <w:rsid w:val="00550B8D"/>
    <w:rsid w:val="005C4925"/>
    <w:rsid w:val="005D0AE3"/>
    <w:rsid w:val="005F0F1A"/>
    <w:rsid w:val="00646A87"/>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B7EE9"/>
    <w:rsid w:val="008D0049"/>
    <w:rsid w:val="008E3A8E"/>
    <w:rsid w:val="00907F8E"/>
    <w:rsid w:val="009138D3"/>
    <w:rsid w:val="00941A8C"/>
    <w:rsid w:val="009538D0"/>
    <w:rsid w:val="00963E3A"/>
    <w:rsid w:val="00964506"/>
    <w:rsid w:val="00976CC0"/>
    <w:rsid w:val="009A75A7"/>
    <w:rsid w:val="009D692A"/>
    <w:rsid w:val="009D7C39"/>
    <w:rsid w:val="009F3BC9"/>
    <w:rsid w:val="00A30E28"/>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3447A"/>
    <w:rsid w:val="00C44D97"/>
    <w:rsid w:val="00C638AB"/>
    <w:rsid w:val="00C64F17"/>
    <w:rsid w:val="00C7719B"/>
    <w:rsid w:val="00C77950"/>
    <w:rsid w:val="00C913A0"/>
    <w:rsid w:val="00CA265E"/>
    <w:rsid w:val="00CB4DFA"/>
    <w:rsid w:val="00CC1505"/>
    <w:rsid w:val="00CC7E05"/>
    <w:rsid w:val="00CD7BB0"/>
    <w:rsid w:val="00CF5B8D"/>
    <w:rsid w:val="00D0325A"/>
    <w:rsid w:val="00D04E4C"/>
    <w:rsid w:val="00D1687E"/>
    <w:rsid w:val="00D17419"/>
    <w:rsid w:val="00D45A1E"/>
    <w:rsid w:val="00D772F5"/>
    <w:rsid w:val="00D85E7B"/>
    <w:rsid w:val="00D932D9"/>
    <w:rsid w:val="00DA23E2"/>
    <w:rsid w:val="00DB5B5C"/>
    <w:rsid w:val="00DE3739"/>
    <w:rsid w:val="00DE4AD3"/>
    <w:rsid w:val="00DE5308"/>
    <w:rsid w:val="00E13D82"/>
    <w:rsid w:val="00E208DC"/>
    <w:rsid w:val="00E37A0A"/>
    <w:rsid w:val="00E40E89"/>
    <w:rsid w:val="00E435B5"/>
    <w:rsid w:val="00E65699"/>
    <w:rsid w:val="00E809C9"/>
    <w:rsid w:val="00E8351B"/>
    <w:rsid w:val="00E862CD"/>
    <w:rsid w:val="00EA5DB0"/>
    <w:rsid w:val="00EB5EBC"/>
    <w:rsid w:val="00EC1F1E"/>
    <w:rsid w:val="00EC7EA7"/>
    <w:rsid w:val="00F04092"/>
    <w:rsid w:val="00F30218"/>
    <w:rsid w:val="00F42C47"/>
    <w:rsid w:val="00F7101F"/>
    <w:rsid w:val="00F833B8"/>
    <w:rsid w:val="00F84228"/>
    <w:rsid w:val="00FA5B22"/>
    <w:rsid w:val="00FC7441"/>
    <w:rsid w:val="00FE28CF"/>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C624"/>
  <w15:chartTrackingRefBased/>
  <w15:docId w15:val="{5E4F1216-50E7-472F-BF0A-AFFE358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646A87"/>
    <w:pPr>
      <w:tabs>
        <w:tab w:val="center" w:pos="4680"/>
        <w:tab w:val="right" w:pos="9360"/>
      </w:tabs>
    </w:pPr>
  </w:style>
  <w:style w:type="character" w:customStyle="1" w:styleId="HeaderChar">
    <w:name w:val="Header Char"/>
    <w:basedOn w:val="DefaultParagraphFont"/>
    <w:link w:val="Header"/>
    <w:rsid w:val="00646A87"/>
    <w:rPr>
      <w:kern w:val="2"/>
    </w:rPr>
  </w:style>
  <w:style w:type="paragraph" w:styleId="Footer">
    <w:name w:val="footer"/>
    <w:basedOn w:val="Normal"/>
    <w:link w:val="FooterChar"/>
    <w:rsid w:val="00646A87"/>
    <w:pPr>
      <w:tabs>
        <w:tab w:val="center" w:pos="4680"/>
        <w:tab w:val="right" w:pos="9360"/>
      </w:tabs>
    </w:pPr>
  </w:style>
  <w:style w:type="character" w:customStyle="1" w:styleId="FooterChar">
    <w:name w:val="Footer Char"/>
    <w:basedOn w:val="DefaultParagraphFont"/>
    <w:link w:val="Footer"/>
    <w:rsid w:val="00646A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2</TotalTime>
  <Pages>1</Pages>
  <Words>285</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4</cp:revision>
  <cp:lastPrinted>2000-01-11T18:15:00Z</cp:lastPrinted>
  <dcterms:created xsi:type="dcterms:W3CDTF">2025-01-28T03:10:00Z</dcterms:created>
  <dcterms:modified xsi:type="dcterms:W3CDTF">2025-01-29T16:52:00Z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224f6ff6-187c-474b-8a0f-1b2eafa3eba3</vt:lpwstr>
  </property>
</Properties>
</file>